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STUDIJA O TRANSFERNIM CENAMA — PUNI IZVEŠTAJ (STRUKTURA)</w:t>
      </w:r>
    </w:p>
    <w:p>
      <w:pPr>
        <w:spacing w:before="0" w:after="120"/>
      </w:pPr>
      <w:r>
        <w:rPr>
          <w:i/>
          <w:color w:val="6B7280"/>
        </w:rPr>
        <w:t xml:space="preserve">Puni izveštaj se podnosi kada vrednost transakcija prelazi prag za skraćeni oblik. Sadržaj je propisan Pravilnikom o transfernim cenama; ovo je struktura/sadržaj koji izveštaj mora da obuhvati.</w:t>
      </w:r>
    </w:p>
    <w:p>
      <w:pPr>
        <w:spacing w:before="0" w:after="120"/>
      </w:pPr>
      <w:r>
        <w:rPr>
          <w:b/>
        </w:rPr>
        <w:t xml:space="preserve">Poslovno ime društva: </w:t>
      </w:r>
      <w:r>
        <w:t xml:space="preserve">____________________________________________</w:t>
      </w:r>
    </w:p>
    <w:p>
      <w:pPr>
        <w:spacing w:before="0" w:after="120"/>
      </w:pPr>
      <w:r>
        <w:rPr>
          <w:b/>
        </w:rPr>
        <w:t xml:space="preserve">Sedište i adresa: </w:t>
      </w:r>
      <w:r>
        <w:t xml:space="preserve">________________________________________________</w:t>
      </w:r>
    </w:p>
    <w:p>
      <w:pPr>
        <w:spacing w:before="0" w:after="120"/>
      </w:pPr>
      <w:r>
        <w:rPr>
          <w:b/>
        </w:rPr>
        <w:t xml:space="preserve">Matični broj / PIB: </w:t>
      </w:r>
      <w:r>
        <w:t xml:space="preserve">______________________________________________</w:t>
      </w:r>
    </w:p>
    <w:p>
      <w:pPr>
        <w:spacing w:before="0" w:after="120"/>
      </w:pPr>
      <w:r>
        <w:rPr>
          <w:b/>
        </w:rPr>
        <w:t xml:space="preserve">Broj akta / datum: </w:t>
      </w:r>
      <w:r>
        <w:t xml:space="preserve">_______________________________________________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1. Analiza grupe povezanih lica</w:t>
      </w:r>
    </w:p>
    <w:p>
      <w:pPr>
        <w:spacing w:before="0" w:after="120"/>
      </w:pPr>
      <w:r>
        <w:t xml:space="preserve">Opis grupe, vlasnička struktura, delatnost, organizaciona šema i poslovna strategija.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2. Delatnost obveznika</w:t>
      </w:r>
    </w:p>
    <w:p>
      <w:pPr>
        <w:spacing w:before="0" w:after="120"/>
      </w:pPr>
      <w:r>
        <w:t xml:space="preserve">Opis poslovanja, tržišta, konkurencije i poslovnih okolnosti relevantnih za transakcije.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3. Funkcionalna analiza</w:t>
      </w:r>
    </w:p>
    <w:p>
      <w:pPr>
        <w:spacing w:before="0" w:after="120"/>
      </w:pPr>
      <w:r>
        <w:t xml:space="preserve">Funkcije koje strane obavljaju, sredstva koja koriste i rizici koje preuzimaju (FAR analiza).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4. Izbor metode</w:t>
      </w:r>
    </w:p>
    <w:p>
      <w:pPr>
        <w:spacing w:before="0" w:after="120"/>
      </w:pPr>
      <w:r>
        <w:t xml:space="preserve">Obrazloženje izabrane metode (uporedive cene na tržištu, cene koštanja uvećane za bruto dobit, preprodajne cene, transakcione neto marže ili podele dobiti).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5. Uporedna (benchmark) analiza</w:t>
      </w:r>
    </w:p>
    <w:p>
      <w:pPr>
        <w:spacing w:before="0" w:after="120"/>
      </w:pPr>
      <w:r>
        <w:t xml:space="preserve">Izbor uporedivih nezavisnih transakcija/društava, kriterijumi, baza podataka i utvrđeni raspon „van dohvata ruke".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6. Zaključak i korekcija</w:t>
      </w:r>
    </w:p>
    <w:p>
      <w:pPr>
        <w:spacing w:before="0" w:after="120"/>
      </w:pPr>
      <w:r>
        <w:t xml:space="preserve">Da li su transferne cene u skladu sa principom „van dohvata ruke"; ako nisu — iznos korekcije osnovice poreza na dobit.</w:t>
      </w:r>
    </w:p>
    <w:p>
      <w:pPr>
        <w:spacing w:before="0" w:after="120"/>
      </w:pPr>
      <w:r>
        <w:rPr>
          <w:i/>
          <w:color w:val="6B7280"/>
        </w:rPr>
        <w:t xml:space="preserve">Izradu punog izveštaja po pravilu radi poreski savetnik/revizor uz pristup bazama uporedivih podataka.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Mesto i datum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Direktor / poreski savetnik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pravnika, knjigovođu ili licencirano lice.</w:t>
      </w:r>
    </w:p>
    <w:sectPr>
      <w:pgSz w:w="11906" w:h="16838"/>
      <w:pgMar w:top="1134" w:right="1134" w:bottom="1134" w:left="1134" w:header="708" w:footer="708" w:gutter="0"/>
    </w:sectPr>
  </w:body>
</w:document>
</file>