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</w:pPr>
      <w:r>
        <w:rPr>
          <w:b/>
          <w:color w:val="0F172A"/>
          <w:sz w:val="32"/>
          <w:szCs w:val="32"/>
        </w:rPr>
        <w:t xml:space="preserve">ELABORAT O PROJEKTU ISTRAŽIVANJA I RAZVOJA</w:t>
      </w:r>
    </w:p>
    <w:p>
      <w:pPr>
        <w:spacing w:before="0" w:after="120"/>
      </w:pPr>
      <w:r>
        <w:rPr>
          <w:i/>
          <w:color w:val="6B7280"/>
        </w:rPr>
        <w:t xml:space="preserve">Popunjava se PRE prvog obračuna zarade sa olakšicom (čl. 21i ZPDG). Sva uputstva u sivom i primeri u zelenom obriši pri popunjavanju.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3400"/>
        <w:gridCol w:w="6200"/>
      </w:tblGrid>
      <w:tr>
        <w:tc>
          <w:tcPr>
            <w:tcW w:w="3400" w:type="dxa"/>
          </w:tcPr>
          <w:p>
            <w:pPr>
              <w:spacing w:before="0" w:after="40"/>
            </w:pPr>
            <w:r>
              <w:t xml:space="preserve">Poslovno ime društva</w:t>
            </w:r>
          </w:p>
        </w:tc>
        <w:tc>
          <w:tcPr>
            <w:tcW w:w="6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400" w:type="dxa"/>
          </w:tcPr>
          <w:p>
            <w:pPr>
              <w:spacing w:before="0" w:after="40"/>
            </w:pPr>
            <w:r>
              <w:t xml:space="preserve">PIB / Matični broj</w:t>
            </w:r>
          </w:p>
        </w:tc>
        <w:tc>
          <w:tcPr>
            <w:tcW w:w="6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400" w:type="dxa"/>
          </w:tcPr>
          <w:p>
            <w:pPr>
              <w:spacing w:before="0" w:after="40"/>
            </w:pPr>
            <w:r>
              <w:t xml:space="preserve">Naziv projekta</w:t>
            </w:r>
          </w:p>
        </w:tc>
        <w:tc>
          <w:tcPr>
            <w:tcW w:w="6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400" w:type="dxa"/>
          </w:tcPr>
          <w:p>
            <w:pPr>
              <w:spacing w:before="0" w:after="40"/>
            </w:pPr>
            <w:r>
              <w:t xml:space="preserve">Interna oznaka projekta</w:t>
            </w:r>
          </w:p>
        </w:tc>
        <w:tc>
          <w:tcPr>
            <w:tcW w:w="6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400" w:type="dxa"/>
          </w:tcPr>
          <w:p>
            <w:pPr>
              <w:spacing w:before="0" w:after="40"/>
            </w:pPr>
            <w:r>
              <w:t xml:space="preserve">Datum donošenja elaborata</w:t>
            </w:r>
          </w:p>
        </w:tc>
        <w:tc>
          <w:tcPr>
            <w:tcW w:w="6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400" w:type="dxa"/>
          </w:tcPr>
          <w:p>
            <w:pPr>
              <w:spacing w:before="0" w:after="40"/>
            </w:pPr>
            <w:r>
              <w:t xml:space="preserve">Verzija dokumenta</w:t>
            </w:r>
          </w:p>
        </w:tc>
        <w:tc>
          <w:tcPr>
            <w:tcW w:w="6200" w:type="dxa"/>
          </w:tcPr>
          <w:p>
            <w:pPr>
              <w:spacing w:before="0" w:after="40"/>
            </w:pPr>
            <w:r>
              <w:t xml:space="preserve">v1.0</w:t>
            </w:r>
          </w:p>
        </w:tc>
      </w:tr>
      <w:tr>
        <w:tc>
          <w:tcPr>
            <w:tcW w:w="3400" w:type="dxa"/>
          </w:tcPr>
          <w:p>
            <w:pPr>
              <w:spacing w:before="0" w:after="40"/>
            </w:pPr>
            <w:r>
              <w:t xml:space="preserve">Odgovorno lice za projekat</w:t>
            </w:r>
          </w:p>
        </w:tc>
        <w:tc>
          <w:tcPr>
            <w:tcW w:w="6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220" w:after="110"/>
      </w:pPr>
      <w:r>
        <w:rPr>
          <w:b/>
          <w:color w:val="1A73E8"/>
          <w:sz w:val="25"/>
          <w:szCs w:val="25"/>
        </w:rPr>
        <w:t xml:space="preserve">1. Naziv i opis projekta</w:t>
      </w:r>
    </w:p>
    <w:p>
      <w:pPr>
        <w:spacing w:before="0" w:after="120"/>
      </w:pPr>
      <w:r>
        <w:rPr>
          <w:i/>
          <w:color w:val="6B7280"/>
        </w:rPr>
        <w:t xml:space="preserve">Šta se razvija i u čemu je novina u odnosu na postojeće stanje tehnike. Budi konkretan i tehnički — opšte fraze („inovativni softver") ne prolaze kontrolu.</w:t>
      </w:r>
    </w:p>
    <w:p>
      <w:pPr>
        <w:spacing w:before="0" w:after="120"/>
      </w:pPr>
      <w:r>
        <w:rPr>
          <w:b/>
          <w:i/>
          <w:color w:val="12A150"/>
        </w:rPr>
        <w:t xml:space="preserve">Primer: </w:t>
      </w:r>
      <w:r>
        <w:rPr>
          <w:i/>
          <w:color w:val="12A150"/>
        </w:rPr>
        <w:t xml:space="preserve">Razvoj algoritma za prepoznavanje anomalija u industrijskim senzorskim podacima u realnom vremenu, sa tačnošću većom od postojećih open-source rešenja (Y, Z) za najmanje 15% na referentnom skupu podataka.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p>
      <w:pPr>
        <w:spacing w:before="220" w:after="110"/>
      </w:pPr>
      <w:r>
        <w:rPr>
          <w:b/>
          <w:color w:val="1A73E8"/>
          <w:sz w:val="25"/>
          <w:szCs w:val="25"/>
        </w:rPr>
        <w:t xml:space="preserve">2. Tehnička neizvesnost</w:t>
      </w:r>
    </w:p>
    <w:p>
      <w:pPr>
        <w:spacing w:before="0" w:after="120"/>
      </w:pPr>
      <w:r>
        <w:rPr>
          <w:i/>
          <w:color w:val="6B7280"/>
        </w:rPr>
        <w:t xml:space="preserve">Koji problem nema poznato rešenje i šta se istražuje. Ovo je ključni dokaz da je u pitanju R&amp;D, a ne rutinski razvoj.</w:t>
      </w:r>
    </w:p>
    <w:p>
      <w:pPr>
        <w:spacing w:before="0" w:after="120"/>
      </w:pPr>
      <w:r>
        <w:rPr>
          <w:b/>
          <w:i/>
          <w:color w:val="12A150"/>
        </w:rPr>
        <w:t xml:space="preserve">Primer: </w:t>
      </w:r>
      <w:r>
        <w:rPr>
          <w:i/>
          <w:color w:val="12A150"/>
        </w:rPr>
        <w:t xml:space="preserve">Nije poznato da li se zahtevana tačnost može postići na uređajima ograničene memorije (&lt;512MB) bez slanja podataka u cloud; istražuju se tehnike kompresije modela i inkrementalnog učenja.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p>
      <w:pPr>
        <w:spacing w:before="220" w:after="110"/>
      </w:pPr>
      <w:r>
        <w:rPr>
          <w:b/>
          <w:color w:val="1A73E8"/>
          <w:sz w:val="25"/>
          <w:szCs w:val="25"/>
        </w:rPr>
        <w:t xml:space="preserve">3. Cilj i očekivani rezultat</w:t>
      </w:r>
    </w:p>
    <w:p>
      <w:pPr>
        <w:spacing w:before="0" w:after="120"/>
      </w:pPr>
      <w:r>
        <w:rPr>
          <w:i/>
          <w:color w:val="6B7280"/>
        </w:rPr>
        <w:t xml:space="preserve">Proizvod, proces, prototip, softver… i KOME PRIPADA nastala intelektualna svojina — mora pripadati firmi.</w:t>
      </w:r>
    </w:p>
    <w:p>
      <w:pPr>
        <w:spacing w:before="0" w:after="120"/>
      </w:pPr>
      <w:r>
        <w:rPr>
          <w:b/>
          <w:i/>
          <w:color w:val="12A150"/>
        </w:rPr>
        <w:t xml:space="preserve">Primer: </w:t>
      </w:r>
      <w:r>
        <w:rPr>
          <w:i/>
          <w:color w:val="12A150"/>
        </w:rPr>
        <w:t xml:space="preserve">Rezultat: softverski modul „X" spreman za integraciju u sopstveni proizvod firme. Celokupna intelektualna svojina (izvorni kod, dokumentacija, model) pripada društvu, što je utvrđeno ugovorima o radu članova tima.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rPr>
          <w:b/>
        </w:rPr>
        <w:t xml:space="preserve">Nosilac intelektualne svojine: </w:t>
      </w:r>
      <w:r>
        <w:t xml:space="preserve">___________________________________</w:t>
      </w:r>
    </w:p>
    <w:p>
      <w:pPr>
        <w:spacing w:before="220" w:after="110"/>
      </w:pPr>
      <w:r>
        <w:rPr>
          <w:b/>
          <w:color w:val="1A73E8"/>
          <w:sz w:val="25"/>
          <w:szCs w:val="25"/>
        </w:rPr>
        <w:t xml:space="preserve">4. Faze i vremenski okvir</w:t>
      </w:r>
    </w:p>
    <w:p>
      <w:pPr>
        <w:spacing w:before="0" w:after="120"/>
      </w:pPr>
      <w:r>
        <w:rPr>
          <w:i/>
          <w:color w:val="6B7280"/>
        </w:rPr>
        <w:t xml:space="preserve">Plan aktivnosti od istraživanja do razvoja, sa rokovima.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2200"/>
        <w:gridCol w:w="3400"/>
        <w:gridCol w:w="2000"/>
        <w:gridCol w:w="2000"/>
      </w:tblGrid>
      <w:tr>
        <w:tc>
          <w:tcPr>
            <w:tcW w:w="22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Faza</w:t>
            </w:r>
          </w:p>
        </w:tc>
        <w:tc>
          <w:tcPr>
            <w:tcW w:w="3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Opis aktivnosti</w:t>
            </w:r>
          </w:p>
        </w:tc>
        <w:tc>
          <w:tcPr>
            <w:tcW w:w="20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Period (od – do)</w:t>
            </w:r>
          </w:p>
        </w:tc>
        <w:tc>
          <w:tcPr>
            <w:tcW w:w="20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Rezultat faze</w:t>
            </w:r>
          </w:p>
        </w:tc>
      </w:tr>
      <w:tr>
        <w:tc>
          <w:tcPr>
            <w:tcW w:w="2200" w:type="dxa"/>
          </w:tcPr>
          <w:p>
            <w:pPr>
              <w:spacing w:before="0" w:after="40"/>
            </w:pPr>
            <w:r>
              <w:t xml:space="preserve">1. Istraživanje</w:t>
            </w:r>
          </w:p>
        </w:tc>
        <w:tc>
          <w:tcPr>
            <w:tcW w:w="3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0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200" w:type="dxa"/>
          </w:tcPr>
          <w:p>
            <w:pPr>
              <w:spacing w:before="0" w:after="40"/>
            </w:pPr>
            <w:r>
              <w:t xml:space="preserve">2. Prototip</w:t>
            </w:r>
          </w:p>
        </w:tc>
        <w:tc>
          <w:tcPr>
            <w:tcW w:w="3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0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200" w:type="dxa"/>
          </w:tcPr>
          <w:p>
            <w:pPr>
              <w:spacing w:before="0" w:after="40"/>
            </w:pPr>
            <w:r>
              <w:t xml:space="preserve">3. Razvoj</w:t>
            </w:r>
          </w:p>
        </w:tc>
        <w:tc>
          <w:tcPr>
            <w:tcW w:w="3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0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200" w:type="dxa"/>
          </w:tcPr>
          <w:p>
            <w:pPr>
              <w:spacing w:before="0" w:after="40"/>
            </w:pPr>
            <w:r>
              <w:t xml:space="preserve">4. Testiranje i validacija</w:t>
            </w:r>
          </w:p>
        </w:tc>
        <w:tc>
          <w:tcPr>
            <w:tcW w:w="34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0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0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220" w:after="110"/>
      </w:pPr>
      <w:r>
        <w:rPr>
          <w:b/>
          <w:color w:val="1A73E8"/>
          <w:sz w:val="25"/>
          <w:szCs w:val="25"/>
        </w:rPr>
        <w:t xml:space="preserve">5. Resursi i budžet</w:t>
      </w:r>
    </w:p>
    <w:p>
      <w:pPr>
        <w:spacing w:before="0" w:after="120"/>
      </w:pPr>
      <w:r>
        <w:rPr>
          <w:i/>
          <w:color w:val="6B7280"/>
        </w:rPr>
        <w:t xml:space="preserve">Planirani troškovi, oprema, eksterni saradnici.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3000"/>
        <w:gridCol w:w="4200"/>
        <w:gridCol w:w="2400"/>
      </w:tblGrid>
      <w:tr>
        <w:tc>
          <w:tcPr>
            <w:tcW w:w="30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Stavka</w:t>
            </w:r>
          </w:p>
        </w:tc>
        <w:tc>
          <w:tcPr>
            <w:tcW w:w="42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Opis</w:t>
            </w:r>
          </w:p>
        </w:tc>
        <w:tc>
          <w:tcPr>
            <w:tcW w:w="24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Planirani iznos (RSD)</w:t>
            </w:r>
          </w:p>
        </w:tc>
      </w:tr>
      <w:tr>
        <w:tc>
          <w:tcPr>
            <w:tcW w:w="3000" w:type="dxa"/>
          </w:tcPr>
          <w:p>
            <w:pPr>
              <w:spacing w:before="0" w:after="40"/>
            </w:pPr>
            <w:r>
              <w:t xml:space="preserve">Zarade tima (bruto 2)</w:t>
            </w:r>
          </w:p>
        </w:tc>
        <w:tc>
          <w:tcPr>
            <w:tcW w:w="4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000" w:type="dxa"/>
          </w:tcPr>
          <w:p>
            <w:pPr>
              <w:spacing w:before="0" w:after="40"/>
            </w:pPr>
            <w:r>
              <w:t xml:space="preserve">Oprema i softver</w:t>
            </w:r>
          </w:p>
        </w:tc>
        <w:tc>
          <w:tcPr>
            <w:tcW w:w="4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000" w:type="dxa"/>
          </w:tcPr>
          <w:p>
            <w:pPr>
              <w:spacing w:before="0" w:after="40"/>
            </w:pPr>
            <w:r>
              <w:t xml:space="preserve">Eksterni saradnici</w:t>
            </w:r>
          </w:p>
        </w:tc>
        <w:tc>
          <w:tcPr>
            <w:tcW w:w="4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000" w:type="dxa"/>
          </w:tcPr>
          <w:p>
            <w:pPr>
              <w:spacing w:before="0" w:after="40"/>
            </w:pPr>
            <w:r>
              <w:t xml:space="preserve">Ostalo</w:t>
            </w:r>
          </w:p>
        </w:tc>
        <w:tc>
          <w:tcPr>
            <w:tcW w:w="4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3000" w:type="dxa"/>
          </w:tcPr>
          <w:p>
            <w:pPr>
              <w:spacing w:before="0" w:after="40"/>
            </w:pPr>
            <w:r>
              <w:t xml:space="preserve">UKUPNO</w:t>
            </w:r>
          </w:p>
        </w:tc>
        <w:tc>
          <w:tcPr>
            <w:tcW w:w="4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4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220" w:after="110"/>
      </w:pPr>
      <w:r>
        <w:rPr>
          <w:b/>
          <w:color w:val="1A73E8"/>
          <w:sz w:val="25"/>
          <w:szCs w:val="25"/>
        </w:rPr>
        <w:t xml:space="preserve">6. Tim — zaposleni na projektu</w:t>
      </w:r>
    </w:p>
    <w:p>
      <w:pPr>
        <w:spacing w:before="0" w:after="120"/>
      </w:pPr>
      <w:r>
        <w:rPr>
          <w:i/>
          <w:color w:val="6B7280"/>
        </w:rPr>
        <w:t xml:space="preserve">Spisak zaposlenih, uloge i planirani procenat radnog vremena svakog na projektu. Procenti se kasnije dokazuju mesečnom evidencijom sati.</w:t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2700"/>
        <w:gridCol w:w="2500"/>
        <w:gridCol w:w="2800"/>
        <w:gridCol w:w="1600"/>
      </w:tblGrid>
      <w:tr>
        <w:tc>
          <w:tcPr>
            <w:tcW w:w="27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Ime i prezime</w:t>
            </w:r>
          </w:p>
        </w:tc>
        <w:tc>
          <w:tcPr>
            <w:tcW w:w="25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Radno mesto</w:t>
            </w:r>
          </w:p>
        </w:tc>
        <w:tc>
          <w:tcPr>
            <w:tcW w:w="28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Uloga na projektu</w:t>
            </w:r>
          </w:p>
        </w:tc>
        <w:tc>
          <w:tcPr>
            <w:tcW w:w="1600" w:type="dxa"/>
            <w:shd w:val="clear" w:color="auto" w:fill="EAF1FD"/>
          </w:tcPr>
          <w:p>
            <w:pPr>
              <w:spacing w:before="0" w:after="40"/>
            </w:pPr>
            <w:r>
              <w:rPr>
                <w:b/>
              </w:rPr>
              <w:t xml:space="preserve">% radnog vremena</w:t>
            </w:r>
          </w:p>
        </w:tc>
      </w:tr>
      <w:tr>
        <w:tc>
          <w:tcPr>
            <w:tcW w:w="2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</w:tr>
      <w:tr>
        <w:tc>
          <w:tcPr>
            <w:tcW w:w="27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5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2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16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220" w:after="110"/>
      </w:pPr>
      <w:r>
        <w:rPr>
          <w:b/>
          <w:color w:val="1A73E8"/>
          <w:sz w:val="25"/>
          <w:szCs w:val="25"/>
        </w:rPr>
        <w:t xml:space="preserve">7. Mesto obavljanja</w:t>
      </w:r>
    </w:p>
    <w:p>
      <w:pPr>
        <w:spacing w:before="0" w:after="120"/>
      </w:pPr>
      <w:r>
        <w:rPr>
          <w:i/>
          <w:color w:val="6B7280"/>
        </w:rPr>
        <w:t xml:space="preserve">Lokacija u Srbiji (kancelarija / rad od kuće u RS) — dokaz uslova da najmanje 90% R&amp;D zaposlenih radi na teritoriji RS.</w:t>
      </w:r>
    </w:p>
    <w:p>
      <w:pPr>
        <w:spacing w:before="0" w:after="120"/>
      </w:pPr>
      <w:r>
        <w:rPr>
          <w:b/>
          <w:i/>
          <w:color w:val="12A150"/>
        </w:rPr>
        <w:t xml:space="preserve">Primer: </w:t>
      </w:r>
      <w:r>
        <w:rPr>
          <w:i/>
          <w:color w:val="12A150"/>
        </w:rPr>
        <w:t xml:space="preserve">Sve aktivnosti se obavljaju u sedištu društva u Beogradu i radom od kuće članova tima sa prebivalištem u Republici Srbiji (100% tima u RS).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3200"/>
        <w:gridCol w:w="3200"/>
        <w:gridCol w:w="3200"/>
      </w:tblGrid>
      <w:tr>
        <w:tc>
          <w:tcPr>
            <w:tcW w:w="32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>Odgovorno lice (potpis)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>Direktor (potpis i pečat)</w:t>
            </w:r>
          </w:p>
        </w:tc>
      </w:tr>
      <w:tr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šablon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obracun.metoda.rs/rd — prilagodi svojoj firmi; za granične slučajeve konsultuj poreskog savetnika. Pravni osnov: čl. 21i ZPDG i čl. 45z Zakona o doprinosima, sa pratećim pravilnikom.</w:t>
      </w:r>
    </w:p>
    <w:sectPr>
      <w:pgSz w:w="11906" w:h="16838"/>
      <w:pgMar w:top="1134" w:right="1134" w:bottom="1134" w:left="1134" w:header="708" w:footer="708" w:gutter="0"/>
    </w:sectPr>
  </w:body>
</w:document>
</file>