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ODLUKA O PROMENI PODATAKA DRUŠTVA</w:t>
      </w:r>
    </w:p>
    <w:p>
      <w:pPr>
        <w:spacing w:before="0" w:after="120"/>
      </w:pPr>
      <w:r>
        <w:rPr>
          <w:i/>
          <w:color w:val="6B7280"/>
        </w:rPr>
        <w:t xml:space="preserve">Za promenu sedišta, poslovnog imena ili pretežne delatnosti. Registruje se u APR u roku od 15 dana; obavesti i poresku upravu, banku i poslovne partnere.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Jedini član (skupština) društva donosi odluku o sledećim promenama (zaokružiti/uneti):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1. Promena sedišta</w:t>
      </w:r>
    </w:p>
    <w:p>
      <w:pPr>
        <w:spacing w:before="0" w:after="120"/>
      </w:pPr>
      <w:r>
        <w:t xml:space="preserve">Sedište se menja sa ____________ na novu adresu: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2. Promena poslovnog imena</w:t>
      </w:r>
    </w:p>
    <w:p>
      <w:pPr>
        <w:spacing w:before="0" w:after="120"/>
      </w:pPr>
      <w:r>
        <w:t xml:space="preserve">Poslovno ime se menja iz „________________________________" u „________________________________".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3. Promena pretežne delatnosti</w:t>
      </w:r>
    </w:p>
    <w:p>
      <w:pPr>
        <w:spacing w:before="0" w:after="120"/>
      </w:pPr>
      <w:r>
        <w:t xml:space="preserve">Pretežna delatnost se menja iz ________ u šifru ________ — ________________________________.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4. Sprovođenje</w:t>
      </w:r>
    </w:p>
    <w:p>
      <w:pPr>
        <w:spacing w:before="0" w:after="120"/>
      </w:pPr>
      <w:r>
        <w:t xml:space="preserve">Ovlašćuje se direktor da podnese registracionu prijavu promene APR-u u zakonskom roku od 15 dana i obavesti nadležne institucije i poslovne partnere.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Jedini član / predsednik skupštine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