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ODLUKA O POVEĆANJU OSNOVNOG KAPITALA</w:t>
      </w:r>
    </w:p>
    <w:p>
      <w:pPr>
        <w:spacing w:before="0" w:after="120"/>
      </w:pPr>
      <w:r>
        <w:rPr>
          <w:i/>
          <w:color w:val="6B7280"/>
        </w:rPr>
        <w:t xml:space="preserve">Povećanje novim ulozima (novčanim ili nenovčanim); registruje se u APR. Nenovčani ulog procenjuje ovlašćeni procenitelj.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Jedini član (skupština) društva, na osnovu člana 142–149. Zakona o privrednim društvima, donosi:</w:t>
      </w:r>
    </w:p>
    <w:p>
      <w:pPr>
        <w:spacing w:before="0" w:after="120"/>
      </w:pPr>
      <w:r>
        <w:t xml:space="preserve">1. Osnovni kapital društva povećava se sa ____________ dinara na ____________ dinara, povećanjem za ____________ dinara.</w:t>
      </w:r>
    </w:p>
    <w:p>
      <w:pPr>
        <w:spacing w:before="0" w:after="120"/>
      </w:pPr>
      <w:r>
        <w:t xml:space="preserve">2. Povećanje se vrši [novim novčanim ulogom] / [nenovčanim ulogom: ________________________________, po proceni ovlašćenog procenitelja] / [iz neraspoređene dobiti].</w:t>
      </w:r>
    </w:p>
    <w:p>
      <w:pPr>
        <w:spacing w:before="0" w:after="120"/>
      </w:pPr>
      <w:r>
        <w:t xml:space="preserve">3. Ulog se unosi u roku od ____________ od dana donošenja ove odluke.</w:t>
      </w:r>
    </w:p>
    <w:p>
      <w:pPr>
        <w:spacing w:before="0" w:after="120"/>
      </w:pPr>
      <w:r>
        <w:t xml:space="preserve">4. Ovlašćuje se direktor da podnese registracionu prijavu APR-u i preduzme sve potrebne radnje.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Jedini član / predsednik skupštine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