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KNJIGA O OSTVARENOM PROMETU PAUŠALNO OPOREZOVANIH OBVEZNIKA (KPO)</w:t>
      </w:r>
    </w:p>
    <w:p>
      <w:pPr>
        <w:spacing w:before="0" w:after="120"/>
      </w:pPr>
      <w:r>
        <w:rPr>
          <w:i/>
          <w:color w:val="6B7280"/>
        </w:rPr>
        <w:t xml:space="preserve">Jedina obavezna evidencija paušalca — vodi se hronološki i ažurno, za svaku poslovnu godinu posebno. Inspekcija je traži u kontroli.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600"/>
        <w:gridCol w:w="3200"/>
        <w:gridCol w:w="2200"/>
        <w:gridCol w:w="1600"/>
      </w:tblGrid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>Obveznik (poslovno ime)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200" w:type="dxa"/>
          </w:tcPr>
          <w:p>
            <w:pPr>
              <w:spacing w:before="0" w:after="40"/>
            </w:pPr>
            <w:r>
              <w:t xml:space="preserve">PIB</w:t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>Sedište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200" w:type="dxa"/>
          </w:tcPr>
          <w:p>
            <w:pPr>
              <w:spacing w:before="0" w:after="40"/>
            </w:pPr>
            <w:r>
              <w:t xml:space="preserve">Šifra delatnosti</w:t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600" w:type="dxa"/>
          </w:tcPr>
          <w:p>
            <w:pPr>
              <w:spacing w:before="0" w:after="40"/>
            </w:pPr>
            <w:r>
              <w:t xml:space="preserve">Poslovna godina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200" w:type="dxa"/>
          </w:tcPr>
          <w:p>
            <w:pPr>
              <w:spacing w:before="0" w:after="40"/>
            </w:pPr>
            <w:r>
              <w:t xml:space="preserve">Žiro račun</w:t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700"/>
        <w:gridCol w:w="1400"/>
        <w:gridCol w:w="2900"/>
        <w:gridCol w:w="1700"/>
        <w:gridCol w:w="1600"/>
        <w:gridCol w:w="1300"/>
      </w:tblGrid>
      <w:tr>
        <w:tc>
          <w:tcPr>
            <w:tcW w:w="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R. br.</w:t>
            </w:r>
          </w:p>
        </w:tc>
        <w:tc>
          <w:tcPr>
            <w:tcW w:w="1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Datum knjiženja</w:t>
            </w:r>
          </w:p>
        </w:tc>
        <w:tc>
          <w:tcPr>
            <w:tcW w:w="29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Opis knjiženja (broj računa/izvoda)</w:t>
            </w:r>
          </w:p>
        </w:tc>
        <w:tc>
          <w:tcPr>
            <w:tcW w:w="1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Prihod od prodaje proizvoda (RSD)</w:t>
            </w:r>
          </w:p>
        </w:tc>
        <w:tc>
          <w:tcPr>
            <w:tcW w:w="16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Prihod od izvršenih usluga (RSD)</w:t>
            </w:r>
          </w:p>
        </w:tc>
        <w:tc>
          <w:tcPr>
            <w:tcW w:w="13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SVEGA (RSD)</w:t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2.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3.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4.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5.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6.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7.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8.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9.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10.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11.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12.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13.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14.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15.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16.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17.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18.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19.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20.</w:t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900" w:type="dxa"/>
          </w:tcPr>
          <w:p>
            <w:pPr>
              <w:spacing w:before="0" w:after="40"/>
            </w:pPr>
            <w:r>
              <w:t xml:space="preserve">UKUPNO</w:t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3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t xml:space="preserve">Napomene: prihodi se knjiže po naplati (gotovina, račun, kompenzacija); zbir kolone SVEGA prati se zbog limita od 6.000.000 RSD godišnje za paušalni status i 8.000.000 RSD za PDV.</w:t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Potpis obveznika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