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IZVEŠTAJ O TRANSFERNIM CENAMA — SKRAĆENI OBLIK</w:t>
      </w:r>
    </w:p>
    <w:p>
      <w:pPr>
        <w:spacing w:before="0" w:after="120"/>
      </w:pPr>
      <w:r>
        <w:rPr>
          <w:i/>
          <w:color w:val="6B7280"/>
        </w:rPr>
        <w:t xml:space="preserve">Obveznik poreza na dobit koji ima transakcije sa povezanim licima prilaže izveštaj uz poresku prijavu (čl. 60–61a Zakona o porezu na dobit). Skraćeni oblik dozvoljen je za transakcije (osim zajmova) čija vrednost sa pojedinačnim povezanim licem ne prelazi 8.000.000 dinara godišnje.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1. Obveznik i povezana lica</w:t>
      </w:r>
    </w:p>
    <w:p>
      <w:pPr>
        <w:spacing w:before="0" w:after="120"/>
      </w:pPr>
      <w:r>
        <w:t xml:space="preserve">Poreski obveznik: ________________________________. Povezana lica (vlasnička/upravljačka povezanost preko 25%):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600"/>
        <w:gridCol w:w="2400"/>
        <w:gridCol w:w="3600"/>
      </w:tblGrid>
      <w:tr>
        <w:tc>
          <w:tcPr>
            <w:tcW w:w="36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Povezano lice</w:t>
            </w:r>
          </w:p>
        </w:tc>
        <w:tc>
          <w:tcPr>
            <w:tcW w:w="2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Država</w:t>
            </w:r>
          </w:p>
        </w:tc>
        <w:tc>
          <w:tcPr>
            <w:tcW w:w="36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Osnov povezanosti</w:t>
            </w:r>
          </w:p>
        </w:tc>
      </w:tr>
      <w:tr>
        <w:tc>
          <w:tcPr>
            <w:tcW w:w="3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2. Transakcije sa povezanim licima</w:t>
      </w:r>
    </w:p>
    <w:tbl>
      <w:tblPr>
        <w:tblW w:w="8638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2700"/>
        <w:gridCol w:w="2400"/>
        <w:gridCol w:w="1900"/>
        <w:gridCol w:w="1638"/>
      </w:tblGrid>
      <w:tr>
        <w:tc>
          <w:tcPr>
            <w:tcW w:w="2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Vrsta transakcije</w:t>
            </w:r>
          </w:p>
        </w:tc>
        <w:tc>
          <w:tcPr>
            <w:tcW w:w="2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Povezano lice</w:t>
            </w:r>
          </w:p>
        </w:tc>
        <w:tc>
          <w:tcPr>
            <w:tcW w:w="19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Iznos (RSD)</w:t>
            </w:r>
          </w:p>
        </w:tc>
        <w:tc>
          <w:tcPr>
            <w:tcW w:w="1638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Cena „van dohvata ruke"?</w:t>
            </w:r>
          </w:p>
        </w:tc>
      </w:tr>
      <w:tr>
        <w:tc>
          <w:tcPr>
            <w:tcW w:w="2700" w:type="dxa"/>
          </w:tcPr>
          <w:p>
            <w:pPr>
              <w:spacing w:before="0" w:after="40"/>
            </w:pPr>
            <w:r>
              <w:t xml:space="preserve">Roba / usluge</w:t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38" w:type="dxa"/>
          </w:tcPr>
          <w:p>
            <w:pPr>
              <w:spacing w:before="0" w:after="40"/>
            </w:pPr>
            <w:r>
              <w:t xml:space="preserve">da/ne</w:t>
            </w:r>
          </w:p>
        </w:tc>
      </w:tr>
      <w:tr>
        <w:tc>
          <w:tcPr>
            <w:tcW w:w="2700" w:type="dxa"/>
          </w:tcPr>
          <w:p>
            <w:pPr>
              <w:spacing w:before="0" w:after="40"/>
            </w:pPr>
            <w:r>
              <w:t xml:space="preserve">Zajam (kamata)</w:t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38" w:type="dxa"/>
          </w:tcPr>
          <w:p>
            <w:pPr>
              <w:spacing w:before="0" w:after="40"/>
            </w:pPr>
            <w:r>
              <w:t xml:space="preserve">da/ne</w:t>
            </w:r>
          </w:p>
        </w:tc>
      </w:tr>
      <w:tr>
        <w:tc>
          <w:tcPr>
            <w:tcW w:w="2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38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3. Izjava</w:t>
      </w:r>
    </w:p>
    <w:p>
      <w:pPr>
        <w:spacing w:before="0" w:after="120"/>
      </w:pPr>
      <w:r>
        <w:t xml:space="preserve">Pojedinačne transakcije (osim zajmova) ne prelaze 8.000.000 dinara, pa se prilaže izveštaj u skraćenom obliku. Obveznik izjavljuje da su cene u skladu sa principom „van dohvata ruke" (arm’s length).</w:t>
      </w:r>
    </w:p>
    <w:p>
      <w:pPr>
        <w:spacing w:before="0" w:after="120"/>
      </w:pPr>
      <w:r>
        <w:rPr>
          <w:i/>
          <w:color w:val="6B7280"/>
        </w:rPr>
        <w:t xml:space="preserve">Zajmovi i krediti se uvek prikazuju u punom obliku (poređenje sa kamatnom stopom „van dohvata ruke" ili kamatnim stopama koje objavljuje Ministarstvo finansija).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 / ovlašćeno lice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